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3" w:rsidRDefault="009963C3" w:rsidP="009963C3">
      <w:pPr>
        <w:outlineLvl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Service Participation Locale</w:t>
      </w:r>
    </w:p>
    <w:p w:rsidR="009963C3" w:rsidRDefault="009963C3" w:rsidP="009963C3">
      <w:pPr>
        <w:outlineLvl w:val="0"/>
        <w:rPr>
          <w:rFonts w:ascii="Lucida Grande" w:hAnsi="Lucida Grande"/>
          <w:sz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DGB/PV/AJ/SB –  </w:t>
      </w:r>
      <w:r w:rsidR="002358B9">
        <w:rPr>
          <w:rFonts w:asciiTheme="minorHAnsi" w:hAnsiTheme="minorHAnsi" w:cstheme="minorHAnsi"/>
          <w:bCs/>
          <w:sz w:val="18"/>
          <w:szCs w:val="18"/>
        </w:rPr>
        <w:t>200/02.07.19</w:t>
      </w:r>
    </w:p>
    <w:p w:rsidR="009963C3" w:rsidRDefault="009963C3" w:rsidP="00996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  <w:sz w:val="18"/>
        </w:rPr>
      </w:pPr>
    </w:p>
    <w:p w:rsidR="009963C3" w:rsidRDefault="009963C3" w:rsidP="009963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963C3" w:rsidRDefault="009963C3" w:rsidP="009963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Conseil de Quartier des Hauts-de-Vanves</w:t>
      </w:r>
    </w:p>
    <w:p w:rsidR="009963C3" w:rsidRDefault="009963C3" w:rsidP="009963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Procès-Verbal de la réunion du jeudi 20 juin 2019</w:t>
      </w:r>
    </w:p>
    <w:p w:rsidR="009963C3" w:rsidRDefault="009963C3" w:rsidP="009963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Salle Latapie</w:t>
      </w:r>
    </w:p>
    <w:p w:rsidR="009963C3" w:rsidRDefault="009963C3" w:rsidP="009963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963C3" w:rsidRDefault="009963C3" w:rsidP="00996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963C3" w:rsidRDefault="009963C3" w:rsidP="00996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Membres présents </w:t>
      </w:r>
      <w:r>
        <w:rPr>
          <w:rFonts w:asciiTheme="minorHAnsi" w:hAnsiTheme="minorHAnsi" w:cstheme="minorHAnsi"/>
          <w:b/>
          <w:sz w:val="22"/>
          <w:szCs w:val="22"/>
        </w:rPr>
        <w:t>X</w:t>
      </w:r>
    </w:p>
    <w:p w:rsidR="009963C3" w:rsidRDefault="009963C3" w:rsidP="00996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Membres excusés   </w:t>
      </w:r>
      <w:r>
        <w:rPr>
          <w:rFonts w:asciiTheme="minorHAnsi" w:hAnsiTheme="minorHAnsi" w:cstheme="minorHAnsi"/>
          <w:b/>
          <w:sz w:val="22"/>
          <w:szCs w:val="22"/>
        </w:rPr>
        <w:t>E</w:t>
      </w:r>
    </w:p>
    <w:p w:rsidR="009963C3" w:rsidRDefault="009963C3" w:rsidP="00996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3C3" w:rsidRDefault="009963C3" w:rsidP="00996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23"/>
        <w:gridCol w:w="2486"/>
        <w:gridCol w:w="535"/>
        <w:gridCol w:w="35"/>
        <w:gridCol w:w="2438"/>
        <w:gridCol w:w="502"/>
        <w:gridCol w:w="2532"/>
      </w:tblGrid>
      <w:tr w:rsidR="009963C3" w:rsidTr="009963C3">
        <w:trPr>
          <w:cantSplit/>
          <w:trHeight w:val="3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AÏM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Philippe LELONG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 w:rsidP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Axel JANNI</w:t>
            </w: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Cécile BOUVIER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Annie DEMACON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X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Pascal VERTANESSIAN</w:t>
            </w: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Arnaud CODET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Christiane MURY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hristine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 w:rsidP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Damien GOUAT-BRUNIN</w:t>
            </w: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Véronique de LEONARDIS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Marta-France NGO LEMB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Jean-Pierre de MARCO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Caroline PILLOT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Catherine HEDIN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Yohann QUINTRIC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Jean-Louis HERNANDEZ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Stéphanie RIVET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Yona KAMELGARN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</w:p>
        </w:tc>
      </w:tr>
      <w:tr w:rsidR="009963C3" w:rsidTr="009963C3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Pascal LE GOUALLEC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C3" w:rsidRDefault="009963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 w:cstheme="minorHAnsi"/>
              </w:rPr>
            </w:pPr>
          </w:p>
        </w:tc>
      </w:tr>
    </w:tbl>
    <w:p w:rsidR="009963C3" w:rsidRDefault="009963C3" w:rsidP="009963C3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2"/>
          <w:szCs w:val="22"/>
        </w:rPr>
      </w:pPr>
    </w:p>
    <w:p w:rsidR="009963C3" w:rsidRPr="00676648" w:rsidRDefault="009963C3" w:rsidP="009963C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963C3" w:rsidRPr="00676648" w:rsidRDefault="009963C3" w:rsidP="009963C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line="260" w:lineRule="exact"/>
        <w:contextualSpacing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676648">
        <w:rPr>
          <w:rFonts w:asciiTheme="minorHAnsi" w:hAnsiTheme="minorHAnsi" w:cs="Arial"/>
          <w:b/>
          <w:sz w:val="22"/>
          <w:szCs w:val="22"/>
        </w:rPr>
        <w:t xml:space="preserve">Retour sur l’évènement Quartiers en Fête du 18 mai 2019 : analyse et établissement des points positifs et négatifs. </w:t>
      </w:r>
    </w:p>
    <w:p w:rsidR="00651245" w:rsidRPr="00676648" w:rsidRDefault="00651245" w:rsidP="00676648">
      <w:pPr>
        <w:pStyle w:val="Paragraphedeliste"/>
        <w:overflowPunct w:val="0"/>
        <w:autoSpaceDE w:val="0"/>
        <w:autoSpaceDN w:val="0"/>
        <w:adjustRightInd w:val="0"/>
        <w:spacing w:line="260" w:lineRule="exact"/>
        <w:contextualSpacing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651245" w:rsidRPr="00676648" w:rsidRDefault="00651245" w:rsidP="0065124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 xml:space="preserve">Les conseillers sont globalement satisfaits de l’édition 2019 de </w:t>
      </w:r>
      <w:r w:rsidR="002358B9">
        <w:rPr>
          <w:rFonts w:asciiTheme="minorHAnsi" w:hAnsiTheme="minorHAnsi" w:cs="Arial"/>
          <w:sz w:val="22"/>
          <w:szCs w:val="22"/>
        </w:rPr>
        <w:t>Q</w:t>
      </w:r>
      <w:r w:rsidRPr="00676648">
        <w:rPr>
          <w:rFonts w:asciiTheme="minorHAnsi" w:hAnsiTheme="minorHAnsi" w:cs="Arial"/>
          <w:sz w:val="22"/>
          <w:szCs w:val="22"/>
        </w:rPr>
        <w:t>uartier</w:t>
      </w:r>
      <w:r w:rsidR="002358B9">
        <w:rPr>
          <w:rFonts w:asciiTheme="minorHAnsi" w:hAnsiTheme="minorHAnsi" w:cs="Arial"/>
          <w:sz w:val="22"/>
          <w:szCs w:val="22"/>
        </w:rPr>
        <w:t>s</w:t>
      </w:r>
      <w:r w:rsidRPr="00676648">
        <w:rPr>
          <w:rFonts w:asciiTheme="minorHAnsi" w:hAnsiTheme="minorHAnsi" w:cs="Arial"/>
          <w:sz w:val="22"/>
          <w:szCs w:val="22"/>
        </w:rPr>
        <w:t xml:space="preserve"> en fête, quelques remarques demeurent : </w:t>
      </w:r>
    </w:p>
    <w:p w:rsidR="00651245" w:rsidRPr="00676648" w:rsidRDefault="00651245" w:rsidP="0065124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651245" w:rsidRPr="00676648" w:rsidRDefault="00651245" w:rsidP="00651245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Pour des raisons de sécurité et de renouvellement des activités</w:t>
      </w:r>
      <w:r w:rsidR="002358B9">
        <w:rPr>
          <w:rFonts w:asciiTheme="minorHAnsi" w:hAnsiTheme="minorHAnsi" w:cs="Arial"/>
          <w:sz w:val="22"/>
          <w:szCs w:val="22"/>
        </w:rPr>
        <w:t>,</w:t>
      </w:r>
      <w:r w:rsidRPr="00676648">
        <w:rPr>
          <w:rFonts w:asciiTheme="minorHAnsi" w:hAnsiTheme="minorHAnsi" w:cs="Arial"/>
          <w:sz w:val="22"/>
          <w:szCs w:val="22"/>
        </w:rPr>
        <w:t xml:space="preserve"> les </w:t>
      </w:r>
      <w:proofErr w:type="spellStart"/>
      <w:r w:rsidRPr="00676648">
        <w:rPr>
          <w:rFonts w:asciiTheme="minorHAnsi" w:hAnsiTheme="minorHAnsi" w:cs="Arial"/>
          <w:sz w:val="22"/>
          <w:szCs w:val="22"/>
        </w:rPr>
        <w:t>rosalies</w:t>
      </w:r>
      <w:proofErr w:type="spellEnd"/>
      <w:r w:rsidRPr="00676648">
        <w:rPr>
          <w:rFonts w:asciiTheme="minorHAnsi" w:hAnsiTheme="minorHAnsi" w:cs="Arial"/>
          <w:sz w:val="22"/>
          <w:szCs w:val="22"/>
        </w:rPr>
        <w:t xml:space="preserve"> ne seront pas reconduites l’année prochaine. </w:t>
      </w:r>
    </w:p>
    <w:p w:rsidR="00651245" w:rsidRPr="00676648" w:rsidRDefault="00651245" w:rsidP="00651245">
      <w:pPr>
        <w:pStyle w:val="Paragraphedeliste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651245" w:rsidRPr="00676648" w:rsidRDefault="00651245" w:rsidP="00651245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Les tentes et l’agencement serai</w:t>
      </w:r>
      <w:r w:rsidR="00D94FE9" w:rsidRPr="00676648">
        <w:rPr>
          <w:rFonts w:asciiTheme="minorHAnsi" w:hAnsiTheme="minorHAnsi" w:cs="Arial"/>
          <w:sz w:val="22"/>
          <w:szCs w:val="22"/>
        </w:rPr>
        <w:t>en</w:t>
      </w:r>
      <w:r w:rsidRPr="00676648">
        <w:rPr>
          <w:rFonts w:asciiTheme="minorHAnsi" w:hAnsiTheme="minorHAnsi" w:cs="Arial"/>
          <w:sz w:val="22"/>
          <w:szCs w:val="22"/>
        </w:rPr>
        <w:t>t peut-être à revoir pour l’édition suivante, l’espace de fête donnait une impression de « fermeture ». L’agencement de cette année est en partie lié aux travaux du parc.</w:t>
      </w:r>
    </w:p>
    <w:p w:rsidR="00651245" w:rsidRPr="00676648" w:rsidRDefault="00651245" w:rsidP="00651245">
      <w:pPr>
        <w:pStyle w:val="Paragraphedeliste"/>
        <w:rPr>
          <w:rFonts w:asciiTheme="minorHAnsi" w:hAnsiTheme="minorHAnsi" w:cs="Arial"/>
          <w:sz w:val="22"/>
          <w:szCs w:val="22"/>
        </w:rPr>
      </w:pPr>
    </w:p>
    <w:p w:rsidR="00651245" w:rsidRPr="00676648" w:rsidRDefault="00651245" w:rsidP="00651245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L’animation cirque était peu visible lors de la manifestation.</w:t>
      </w:r>
    </w:p>
    <w:p w:rsidR="00651245" w:rsidRPr="00676648" w:rsidRDefault="00651245" w:rsidP="00651245">
      <w:pPr>
        <w:pStyle w:val="Paragraphedeliste"/>
        <w:rPr>
          <w:rFonts w:asciiTheme="minorHAnsi" w:hAnsiTheme="minorHAnsi" w:cs="Arial"/>
          <w:sz w:val="22"/>
          <w:szCs w:val="22"/>
        </w:rPr>
      </w:pPr>
    </w:p>
    <w:p w:rsidR="00651245" w:rsidRPr="00676648" w:rsidRDefault="00651245" w:rsidP="0065124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 xml:space="preserve">L’édition 2020 de </w:t>
      </w:r>
      <w:r w:rsidR="002358B9">
        <w:rPr>
          <w:rFonts w:asciiTheme="minorHAnsi" w:hAnsiTheme="minorHAnsi" w:cs="Arial"/>
          <w:sz w:val="22"/>
          <w:szCs w:val="22"/>
        </w:rPr>
        <w:t>Q</w:t>
      </w:r>
      <w:r w:rsidRPr="00676648">
        <w:rPr>
          <w:rFonts w:asciiTheme="minorHAnsi" w:hAnsiTheme="minorHAnsi" w:cs="Arial"/>
          <w:sz w:val="22"/>
          <w:szCs w:val="22"/>
        </w:rPr>
        <w:t>uartier</w:t>
      </w:r>
      <w:r w:rsidR="002358B9">
        <w:rPr>
          <w:rFonts w:asciiTheme="minorHAnsi" w:hAnsiTheme="minorHAnsi" w:cs="Arial"/>
          <w:sz w:val="22"/>
          <w:szCs w:val="22"/>
        </w:rPr>
        <w:t>s</w:t>
      </w:r>
      <w:r w:rsidR="00D94FE9" w:rsidRPr="00676648">
        <w:rPr>
          <w:rFonts w:asciiTheme="minorHAnsi" w:hAnsiTheme="minorHAnsi" w:cs="Arial"/>
          <w:sz w:val="22"/>
          <w:szCs w:val="22"/>
        </w:rPr>
        <w:t xml:space="preserve"> en fête demande à être repensé</w:t>
      </w:r>
      <w:r w:rsidR="00676648" w:rsidRPr="00676648">
        <w:rPr>
          <w:rFonts w:asciiTheme="minorHAnsi" w:hAnsiTheme="minorHAnsi" w:cs="Arial"/>
          <w:sz w:val="22"/>
          <w:szCs w:val="22"/>
        </w:rPr>
        <w:t>e</w:t>
      </w:r>
      <w:r w:rsidRPr="00676648">
        <w:rPr>
          <w:rFonts w:asciiTheme="minorHAnsi" w:hAnsiTheme="minorHAnsi" w:cs="Arial"/>
          <w:sz w:val="22"/>
          <w:szCs w:val="22"/>
        </w:rPr>
        <w:t xml:space="preserve"> en partie par les acteurs de la participation locale. </w:t>
      </w:r>
    </w:p>
    <w:p w:rsidR="009963C3" w:rsidRPr="00676648" w:rsidRDefault="009963C3" w:rsidP="009963C3">
      <w:pPr>
        <w:pStyle w:val="Paragraphedeliste"/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651245" w:rsidRPr="00676648" w:rsidRDefault="009963C3" w:rsidP="00651245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676648">
        <w:rPr>
          <w:rFonts w:asciiTheme="minorHAnsi" w:hAnsiTheme="minorHAnsi" w:cs="Arial"/>
          <w:b/>
          <w:sz w:val="22"/>
          <w:szCs w:val="22"/>
        </w:rPr>
        <w:t xml:space="preserve">Information relative au mur anti-bruit jouxtant la ligne de chemin de fer. </w:t>
      </w:r>
    </w:p>
    <w:p w:rsidR="00651245" w:rsidRPr="00676648" w:rsidRDefault="00651245" w:rsidP="00731E0A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Le mur anti-bruit sera achevé</w:t>
      </w:r>
      <w:r w:rsidR="00F93F58" w:rsidRPr="00676648">
        <w:rPr>
          <w:rFonts w:asciiTheme="minorHAnsi" w:hAnsiTheme="minorHAnsi" w:cs="Arial"/>
          <w:sz w:val="22"/>
          <w:szCs w:val="22"/>
        </w:rPr>
        <w:t xml:space="preserve"> vers Septembre – Octobre. Cet aménagement est la résultante d’un système de financement impliquant plusieurs acteurs tels que la région, le département, la métropole ainsi que la SNCF. </w:t>
      </w:r>
    </w:p>
    <w:p w:rsidR="00731E0A" w:rsidRPr="00676648" w:rsidRDefault="00F93F58" w:rsidP="00731E0A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 xml:space="preserve">Les financements permettent de faire des rallongements ponctuels de l’infrastructure suivant une logique de points remarquables. </w:t>
      </w:r>
      <w:r w:rsidR="00731E0A" w:rsidRPr="00676648">
        <w:rPr>
          <w:rFonts w:asciiTheme="minorHAnsi" w:hAnsiTheme="minorHAnsi" w:cs="Arial"/>
          <w:sz w:val="22"/>
          <w:szCs w:val="22"/>
        </w:rPr>
        <w:t>Au regard du projet initial, c</w:t>
      </w:r>
      <w:r w:rsidRPr="00676648">
        <w:rPr>
          <w:rFonts w:asciiTheme="minorHAnsi" w:hAnsiTheme="minorHAnsi" w:cs="Arial"/>
          <w:sz w:val="22"/>
          <w:szCs w:val="22"/>
        </w:rPr>
        <w:t xml:space="preserve">e </w:t>
      </w:r>
      <w:r w:rsidR="00731E0A" w:rsidRPr="00676648">
        <w:rPr>
          <w:rFonts w:asciiTheme="minorHAnsi" w:hAnsiTheme="minorHAnsi" w:cs="Arial"/>
          <w:sz w:val="22"/>
          <w:szCs w:val="22"/>
        </w:rPr>
        <w:t xml:space="preserve">rallongement </w:t>
      </w:r>
      <w:r w:rsidRPr="00676648">
        <w:rPr>
          <w:rFonts w:asciiTheme="minorHAnsi" w:hAnsiTheme="minorHAnsi" w:cs="Arial"/>
          <w:sz w:val="22"/>
          <w:szCs w:val="22"/>
        </w:rPr>
        <w:t>permet</w:t>
      </w:r>
      <w:r w:rsidR="00731E0A" w:rsidRPr="00676648">
        <w:rPr>
          <w:rFonts w:asciiTheme="minorHAnsi" w:hAnsiTheme="minorHAnsi" w:cs="Arial"/>
          <w:sz w:val="22"/>
          <w:szCs w:val="22"/>
        </w:rPr>
        <w:t>tra</w:t>
      </w:r>
      <w:r w:rsidRPr="00676648">
        <w:rPr>
          <w:rFonts w:asciiTheme="minorHAnsi" w:hAnsiTheme="minorHAnsi" w:cs="Arial"/>
          <w:sz w:val="22"/>
          <w:szCs w:val="22"/>
        </w:rPr>
        <w:t xml:space="preserve"> d’atténuer plus largement les nuisances</w:t>
      </w:r>
      <w:r w:rsidR="00731E0A" w:rsidRPr="00676648">
        <w:rPr>
          <w:rFonts w:asciiTheme="minorHAnsi" w:hAnsiTheme="minorHAnsi" w:cs="Arial"/>
          <w:sz w:val="22"/>
          <w:szCs w:val="22"/>
        </w:rPr>
        <w:t xml:space="preserve"> ferroviaires. </w:t>
      </w:r>
    </w:p>
    <w:p w:rsidR="00731E0A" w:rsidRPr="00676648" w:rsidRDefault="00731E0A" w:rsidP="00731E0A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lastRenderedPageBreak/>
        <w:t xml:space="preserve">Concernant l’organisation des travaux et des nuisances qu’ils impliquent, des locaux de stockage sont mis à disposition par la ville afin de désengorger l’espace public. </w:t>
      </w:r>
    </w:p>
    <w:p w:rsidR="00731E0A" w:rsidRPr="00676648" w:rsidRDefault="00731E0A" w:rsidP="00731E0A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 xml:space="preserve">Une visite de ce mur anti-bruit sera organisée une fois l’infrastructure achevée. </w:t>
      </w:r>
    </w:p>
    <w:p w:rsidR="009963C3" w:rsidRPr="00676648" w:rsidRDefault="009963C3" w:rsidP="009963C3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p w:rsidR="009963C3" w:rsidRPr="00676648" w:rsidRDefault="009963C3" w:rsidP="009963C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676648">
        <w:rPr>
          <w:rFonts w:asciiTheme="minorHAnsi" w:hAnsiTheme="minorHAnsi" w:cs="Arial"/>
          <w:b/>
          <w:sz w:val="22"/>
          <w:szCs w:val="22"/>
        </w:rPr>
        <w:t xml:space="preserve">Point sur les différents projets du </w:t>
      </w:r>
      <w:r w:rsidR="002358B9">
        <w:rPr>
          <w:rFonts w:asciiTheme="minorHAnsi" w:hAnsiTheme="minorHAnsi" w:cs="Arial"/>
          <w:b/>
          <w:sz w:val="22"/>
          <w:szCs w:val="22"/>
        </w:rPr>
        <w:t>C</w:t>
      </w:r>
      <w:r w:rsidRPr="00676648">
        <w:rPr>
          <w:rFonts w:asciiTheme="minorHAnsi" w:hAnsiTheme="minorHAnsi" w:cs="Arial"/>
          <w:b/>
          <w:sz w:val="22"/>
          <w:szCs w:val="22"/>
        </w:rPr>
        <w:t xml:space="preserve">onseil de quartier : </w:t>
      </w:r>
    </w:p>
    <w:p w:rsidR="009963C3" w:rsidRPr="00676648" w:rsidRDefault="009963C3" w:rsidP="009963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9963C3" w:rsidRPr="00676648" w:rsidRDefault="009963C3" w:rsidP="009963C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Arial"/>
          <w:sz w:val="22"/>
          <w:szCs w:val="22"/>
          <w:u w:val="single"/>
        </w:rPr>
      </w:pPr>
      <w:r w:rsidRPr="00676648">
        <w:rPr>
          <w:rFonts w:asciiTheme="minorHAnsi" w:hAnsiTheme="minorHAnsi" w:cs="Arial"/>
          <w:sz w:val="22"/>
          <w:szCs w:val="22"/>
          <w:u w:val="single"/>
        </w:rPr>
        <w:t>Réflexion autour</w:t>
      </w:r>
      <w:r w:rsidR="00B8327F" w:rsidRPr="00676648">
        <w:rPr>
          <w:rFonts w:asciiTheme="minorHAnsi" w:hAnsiTheme="minorHAnsi" w:cs="Arial"/>
          <w:sz w:val="22"/>
          <w:szCs w:val="22"/>
          <w:u w:val="single"/>
        </w:rPr>
        <w:t xml:space="preserve"> du Repair café</w:t>
      </w:r>
      <w:r w:rsidRPr="00676648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9963C3" w:rsidRPr="00676648" w:rsidRDefault="00E42489" w:rsidP="00731E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La participation locale a rencontré des acteurs associatifs</w:t>
      </w:r>
      <w:r w:rsidR="00731E0A" w:rsidRPr="00676648">
        <w:rPr>
          <w:rFonts w:asciiTheme="minorHAnsi" w:hAnsiTheme="minorHAnsi" w:cs="Arial"/>
          <w:sz w:val="22"/>
          <w:szCs w:val="22"/>
        </w:rPr>
        <w:t xml:space="preserve"> </w:t>
      </w:r>
      <w:r w:rsidRPr="00676648">
        <w:rPr>
          <w:rFonts w:asciiTheme="minorHAnsi" w:hAnsiTheme="minorHAnsi" w:cs="Arial"/>
          <w:sz w:val="22"/>
          <w:szCs w:val="22"/>
        </w:rPr>
        <w:t xml:space="preserve">impliqués dans la mise en œuvre de </w:t>
      </w:r>
      <w:proofErr w:type="spellStart"/>
      <w:r w:rsidR="002358B9">
        <w:rPr>
          <w:rFonts w:asciiTheme="minorHAnsi" w:hAnsiTheme="minorHAnsi" w:cs="Arial"/>
          <w:sz w:val="22"/>
          <w:szCs w:val="22"/>
        </w:rPr>
        <w:t>R</w:t>
      </w:r>
      <w:r w:rsidRPr="00676648">
        <w:rPr>
          <w:rFonts w:asciiTheme="minorHAnsi" w:hAnsiTheme="minorHAnsi" w:cs="Arial"/>
          <w:sz w:val="22"/>
          <w:szCs w:val="22"/>
        </w:rPr>
        <w:t>epair</w:t>
      </w:r>
      <w:proofErr w:type="spellEnd"/>
      <w:r w:rsidRPr="00676648">
        <w:rPr>
          <w:rFonts w:asciiTheme="minorHAnsi" w:hAnsiTheme="minorHAnsi" w:cs="Arial"/>
          <w:sz w:val="22"/>
          <w:szCs w:val="22"/>
        </w:rPr>
        <w:t xml:space="preserve"> café. Quelques points sont importants à la tenue d’un </w:t>
      </w:r>
      <w:proofErr w:type="spellStart"/>
      <w:r w:rsidR="002358B9">
        <w:rPr>
          <w:rFonts w:asciiTheme="minorHAnsi" w:hAnsiTheme="minorHAnsi" w:cs="Arial"/>
          <w:sz w:val="22"/>
          <w:szCs w:val="22"/>
        </w:rPr>
        <w:t>R</w:t>
      </w:r>
      <w:r w:rsidRPr="00676648">
        <w:rPr>
          <w:rFonts w:asciiTheme="minorHAnsi" w:hAnsiTheme="minorHAnsi" w:cs="Arial"/>
          <w:sz w:val="22"/>
          <w:szCs w:val="22"/>
        </w:rPr>
        <w:t>epair</w:t>
      </w:r>
      <w:proofErr w:type="spellEnd"/>
      <w:r w:rsidRPr="00676648">
        <w:rPr>
          <w:rFonts w:asciiTheme="minorHAnsi" w:hAnsiTheme="minorHAnsi" w:cs="Arial"/>
          <w:sz w:val="22"/>
          <w:szCs w:val="22"/>
        </w:rPr>
        <w:t xml:space="preserve"> café : </w:t>
      </w:r>
    </w:p>
    <w:p w:rsidR="00FE60CB" w:rsidRPr="00676648" w:rsidRDefault="00FE60CB" w:rsidP="00731E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E42489" w:rsidRPr="00676648" w:rsidRDefault="00E42489" w:rsidP="00E42489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Assurer la liaison avec des bénévoles qui permettron</w:t>
      </w:r>
      <w:r w:rsidR="008A46D2" w:rsidRPr="00676648">
        <w:rPr>
          <w:rFonts w:asciiTheme="minorHAnsi" w:hAnsiTheme="minorHAnsi" w:cs="Arial"/>
          <w:sz w:val="22"/>
          <w:szCs w:val="22"/>
        </w:rPr>
        <w:t>t d’identifier le type de réparation</w:t>
      </w:r>
      <w:r w:rsidR="002358B9">
        <w:rPr>
          <w:rFonts w:asciiTheme="minorHAnsi" w:hAnsiTheme="minorHAnsi" w:cs="Arial"/>
          <w:sz w:val="22"/>
          <w:szCs w:val="22"/>
        </w:rPr>
        <w:t>s</w:t>
      </w:r>
      <w:r w:rsidR="008A46D2" w:rsidRPr="00676648">
        <w:rPr>
          <w:rFonts w:asciiTheme="minorHAnsi" w:hAnsiTheme="minorHAnsi" w:cs="Arial"/>
          <w:sz w:val="22"/>
          <w:szCs w:val="22"/>
        </w:rPr>
        <w:t xml:space="preserve"> possible</w:t>
      </w:r>
      <w:r w:rsidR="002358B9">
        <w:rPr>
          <w:rFonts w:asciiTheme="minorHAnsi" w:hAnsiTheme="minorHAnsi" w:cs="Arial"/>
          <w:sz w:val="22"/>
          <w:szCs w:val="22"/>
        </w:rPr>
        <w:t>s</w:t>
      </w:r>
      <w:r w:rsidR="008A46D2" w:rsidRPr="00676648">
        <w:rPr>
          <w:rFonts w:asciiTheme="minorHAnsi" w:hAnsiTheme="minorHAnsi" w:cs="Arial"/>
          <w:sz w:val="22"/>
          <w:szCs w:val="22"/>
        </w:rPr>
        <w:t xml:space="preserve">. </w:t>
      </w:r>
      <w:r w:rsidR="00E75416" w:rsidRPr="00676648">
        <w:rPr>
          <w:rFonts w:asciiTheme="minorHAnsi" w:hAnsiTheme="minorHAnsi" w:cs="Arial"/>
          <w:sz w:val="22"/>
          <w:szCs w:val="22"/>
        </w:rPr>
        <w:t>Ce réseau est à constituer</w:t>
      </w:r>
      <w:r w:rsidR="008A46D2" w:rsidRPr="00676648">
        <w:rPr>
          <w:rFonts w:asciiTheme="minorHAnsi" w:hAnsiTheme="minorHAnsi" w:cs="Arial"/>
          <w:sz w:val="22"/>
          <w:szCs w:val="22"/>
        </w:rPr>
        <w:t xml:space="preserve"> d’une part avec la communication qui sera effectuée dans le Vanves info</w:t>
      </w:r>
      <w:r w:rsidR="002358B9">
        <w:rPr>
          <w:rFonts w:asciiTheme="minorHAnsi" w:hAnsiTheme="minorHAnsi" w:cs="Arial"/>
          <w:sz w:val="22"/>
          <w:szCs w:val="22"/>
        </w:rPr>
        <w:t>s</w:t>
      </w:r>
      <w:r w:rsidR="008A46D2" w:rsidRPr="00676648">
        <w:rPr>
          <w:rFonts w:asciiTheme="minorHAnsi" w:hAnsiTheme="minorHAnsi" w:cs="Arial"/>
          <w:sz w:val="22"/>
          <w:szCs w:val="22"/>
        </w:rPr>
        <w:t xml:space="preserve"> du mois de Septembre et potentiellement avec des </w:t>
      </w:r>
      <w:r w:rsidR="00E75416" w:rsidRPr="00676648">
        <w:rPr>
          <w:rFonts w:asciiTheme="minorHAnsi" w:hAnsiTheme="minorHAnsi" w:cs="Arial"/>
          <w:sz w:val="22"/>
          <w:szCs w:val="22"/>
        </w:rPr>
        <w:t xml:space="preserve">bénévoles rencontrés lors de visites de terrain. </w:t>
      </w:r>
      <w:r w:rsidR="008A46D2" w:rsidRPr="00676648">
        <w:rPr>
          <w:rFonts w:asciiTheme="minorHAnsi" w:hAnsiTheme="minorHAnsi" w:cs="Arial"/>
          <w:sz w:val="22"/>
          <w:szCs w:val="22"/>
        </w:rPr>
        <w:t xml:space="preserve"> </w:t>
      </w:r>
    </w:p>
    <w:p w:rsidR="00E75416" w:rsidRPr="00676648" w:rsidRDefault="00E75416" w:rsidP="00E42489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>Les outils peuvent être apporté</w:t>
      </w:r>
      <w:r w:rsidR="00D94FE9" w:rsidRPr="00676648">
        <w:rPr>
          <w:rFonts w:asciiTheme="minorHAnsi" w:hAnsiTheme="minorHAnsi" w:cs="Arial"/>
          <w:sz w:val="22"/>
          <w:szCs w:val="22"/>
        </w:rPr>
        <w:t>s</w:t>
      </w:r>
      <w:r w:rsidRPr="00676648">
        <w:rPr>
          <w:rFonts w:asciiTheme="minorHAnsi" w:hAnsiTheme="minorHAnsi" w:cs="Arial"/>
          <w:sz w:val="22"/>
          <w:szCs w:val="22"/>
        </w:rPr>
        <w:t xml:space="preserve"> par les bénévoles eux-mêmes ou bien emprunté</w:t>
      </w:r>
      <w:r w:rsidR="00D94FE9" w:rsidRPr="00676648">
        <w:rPr>
          <w:rFonts w:asciiTheme="minorHAnsi" w:hAnsiTheme="minorHAnsi" w:cs="Arial"/>
          <w:sz w:val="22"/>
          <w:szCs w:val="22"/>
        </w:rPr>
        <w:t>s</w:t>
      </w:r>
      <w:r w:rsidRPr="00676648">
        <w:rPr>
          <w:rFonts w:asciiTheme="minorHAnsi" w:hAnsiTheme="minorHAnsi" w:cs="Arial"/>
          <w:sz w:val="22"/>
          <w:szCs w:val="22"/>
        </w:rPr>
        <w:t xml:space="preserve"> auprès des acteurs associatifs. </w:t>
      </w:r>
    </w:p>
    <w:p w:rsidR="008A46D2" w:rsidRPr="00676648" w:rsidRDefault="00E75416" w:rsidP="00E42489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 xml:space="preserve">Le </w:t>
      </w:r>
      <w:proofErr w:type="spellStart"/>
      <w:r w:rsidR="002358B9">
        <w:rPr>
          <w:rFonts w:asciiTheme="minorHAnsi" w:hAnsiTheme="minorHAnsi" w:cs="Arial"/>
          <w:sz w:val="22"/>
          <w:szCs w:val="22"/>
        </w:rPr>
        <w:t>R</w:t>
      </w:r>
      <w:r w:rsidRPr="00676648">
        <w:rPr>
          <w:rFonts w:asciiTheme="minorHAnsi" w:hAnsiTheme="minorHAnsi" w:cs="Arial"/>
          <w:sz w:val="22"/>
          <w:szCs w:val="22"/>
        </w:rPr>
        <w:t>epair</w:t>
      </w:r>
      <w:proofErr w:type="spellEnd"/>
      <w:r w:rsidRPr="00676648">
        <w:rPr>
          <w:rFonts w:asciiTheme="minorHAnsi" w:hAnsiTheme="minorHAnsi" w:cs="Arial"/>
          <w:sz w:val="22"/>
          <w:szCs w:val="22"/>
        </w:rPr>
        <w:t xml:space="preserve"> café s’organise en deux pôles : d’une part</w:t>
      </w:r>
      <w:r w:rsidR="002358B9">
        <w:rPr>
          <w:rFonts w:asciiTheme="minorHAnsi" w:hAnsiTheme="minorHAnsi" w:cs="Arial"/>
          <w:sz w:val="22"/>
          <w:szCs w:val="22"/>
        </w:rPr>
        <w:t>,</w:t>
      </w:r>
      <w:r w:rsidRPr="00676648">
        <w:rPr>
          <w:rFonts w:asciiTheme="minorHAnsi" w:hAnsiTheme="minorHAnsi" w:cs="Arial"/>
          <w:sz w:val="22"/>
          <w:szCs w:val="22"/>
        </w:rPr>
        <w:t xml:space="preserve"> les bénévoles qui assurent l’organisation (accueil des personnes</w:t>
      </w:r>
      <w:r w:rsidR="00FE60CB" w:rsidRPr="00676648">
        <w:rPr>
          <w:rFonts w:asciiTheme="minorHAnsi" w:hAnsiTheme="minorHAnsi" w:cs="Arial"/>
          <w:sz w:val="22"/>
          <w:szCs w:val="22"/>
        </w:rPr>
        <w:t>, pesée des éléments à réparer</w:t>
      </w:r>
      <w:r w:rsidRPr="00676648">
        <w:rPr>
          <w:rFonts w:asciiTheme="minorHAnsi" w:hAnsiTheme="minorHAnsi" w:cs="Arial"/>
          <w:sz w:val="22"/>
          <w:szCs w:val="22"/>
        </w:rPr>
        <w:t>)</w:t>
      </w:r>
      <w:r w:rsidR="002358B9">
        <w:rPr>
          <w:rFonts w:asciiTheme="minorHAnsi" w:hAnsiTheme="minorHAnsi" w:cs="Arial"/>
          <w:sz w:val="22"/>
          <w:szCs w:val="22"/>
        </w:rPr>
        <w:t>,</w:t>
      </w:r>
      <w:r w:rsidRPr="00676648">
        <w:rPr>
          <w:rFonts w:asciiTheme="minorHAnsi" w:hAnsiTheme="minorHAnsi" w:cs="Arial"/>
          <w:sz w:val="22"/>
          <w:szCs w:val="22"/>
        </w:rPr>
        <w:t xml:space="preserve"> d’autre part</w:t>
      </w:r>
      <w:r w:rsidR="002358B9">
        <w:rPr>
          <w:rFonts w:asciiTheme="minorHAnsi" w:hAnsiTheme="minorHAnsi" w:cs="Arial"/>
          <w:sz w:val="22"/>
          <w:szCs w:val="22"/>
        </w:rPr>
        <w:t>,</w:t>
      </w:r>
      <w:r w:rsidRPr="00676648">
        <w:rPr>
          <w:rFonts w:asciiTheme="minorHAnsi" w:hAnsiTheme="minorHAnsi" w:cs="Arial"/>
          <w:sz w:val="22"/>
          <w:szCs w:val="22"/>
        </w:rPr>
        <w:t xml:space="preserve"> les bénévoles qui utilisent leurs comp</w:t>
      </w:r>
      <w:r w:rsidR="00FE60CB" w:rsidRPr="00676648">
        <w:rPr>
          <w:rFonts w:asciiTheme="minorHAnsi" w:hAnsiTheme="minorHAnsi" w:cs="Arial"/>
          <w:sz w:val="22"/>
          <w:szCs w:val="22"/>
        </w:rPr>
        <w:t xml:space="preserve">étences de réparation. Pour assurer une </w:t>
      </w:r>
      <w:proofErr w:type="spellStart"/>
      <w:r w:rsidR="00FE60CB" w:rsidRPr="00676648">
        <w:rPr>
          <w:rFonts w:asciiTheme="minorHAnsi" w:hAnsiTheme="minorHAnsi" w:cs="Arial"/>
          <w:sz w:val="22"/>
          <w:szCs w:val="22"/>
        </w:rPr>
        <w:t>co</w:t>
      </w:r>
      <w:proofErr w:type="spellEnd"/>
      <w:r w:rsidR="00FE60CB" w:rsidRPr="00676648">
        <w:rPr>
          <w:rFonts w:asciiTheme="minorHAnsi" w:hAnsiTheme="minorHAnsi" w:cs="Arial"/>
          <w:sz w:val="22"/>
          <w:szCs w:val="22"/>
        </w:rPr>
        <w:t xml:space="preserve">-réparation et non une prestation de service, il est préférable de mélanger sur plusieurs tables les bénévoles et les individus venant faire réparer leurs objets. </w:t>
      </w:r>
    </w:p>
    <w:p w:rsidR="00FE60CB" w:rsidRPr="00676648" w:rsidRDefault="00FE60CB" w:rsidP="00FE60CB">
      <w:pPr>
        <w:pStyle w:val="Paragraphedeliste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FE60CB" w:rsidRPr="00676648" w:rsidRDefault="00FE60CB" w:rsidP="00FE60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76648">
        <w:rPr>
          <w:rFonts w:asciiTheme="minorHAnsi" w:hAnsiTheme="minorHAnsi" w:cs="Arial"/>
          <w:sz w:val="22"/>
          <w:szCs w:val="22"/>
        </w:rPr>
        <w:t xml:space="preserve">L’événement se déroulera un samedi après-midi (après le Trocolivre du 5 Octobre) fin octobre ou début novembre au sein des locaux de l’école </w:t>
      </w:r>
      <w:proofErr w:type="spellStart"/>
      <w:r w:rsidRPr="00676648">
        <w:rPr>
          <w:rFonts w:asciiTheme="minorHAnsi" w:hAnsiTheme="minorHAnsi" w:cs="Arial"/>
          <w:sz w:val="22"/>
          <w:szCs w:val="22"/>
        </w:rPr>
        <w:t>Larmeroux</w:t>
      </w:r>
      <w:proofErr w:type="spellEnd"/>
      <w:r w:rsidRPr="00676648">
        <w:rPr>
          <w:rFonts w:asciiTheme="minorHAnsi" w:hAnsiTheme="minorHAnsi" w:cs="Arial"/>
          <w:sz w:val="22"/>
          <w:szCs w:val="22"/>
        </w:rPr>
        <w:t xml:space="preserve">. </w:t>
      </w:r>
    </w:p>
    <w:p w:rsidR="00FE60CB" w:rsidRPr="00676648" w:rsidRDefault="00FE60CB" w:rsidP="00FE60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9963C3" w:rsidRPr="00676648" w:rsidRDefault="009963C3" w:rsidP="009963C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676648">
        <w:rPr>
          <w:rFonts w:asciiTheme="minorHAnsi" w:hAnsiTheme="minorHAnsi" w:cs="Arial"/>
          <w:b/>
          <w:sz w:val="22"/>
          <w:szCs w:val="22"/>
        </w:rPr>
        <w:t xml:space="preserve">Organisation d’un évènement livre voyageur en lien avec le Trocolivre. </w:t>
      </w:r>
    </w:p>
    <w:p w:rsidR="00FE60CB" w:rsidRPr="00676648" w:rsidRDefault="00FE60CB" w:rsidP="00FE60CB">
      <w:pPr>
        <w:pStyle w:val="Paragraphedeliste"/>
        <w:overflowPunct w:val="0"/>
        <w:autoSpaceDE w:val="0"/>
        <w:autoSpaceDN w:val="0"/>
        <w:adjustRightInd w:val="0"/>
        <w:ind w:left="1440"/>
        <w:contextualSpacing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FE60CB" w:rsidRPr="00676648" w:rsidRDefault="00FE60CB" w:rsidP="00FE60CB">
      <w:pPr>
        <w:pStyle w:val="Listepuce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676648">
        <w:rPr>
          <w:rFonts w:asciiTheme="minorHAnsi" w:hAnsiTheme="minorHAnsi"/>
          <w:sz w:val="22"/>
          <w:szCs w:val="22"/>
        </w:rPr>
        <w:t>Le livre voyageur sera organisé le 5 Octobre lors du Trocolivre. Les conseillers de quartier pourront apporter des livres</w:t>
      </w:r>
      <w:r w:rsidR="00D94FE9" w:rsidRPr="00676648">
        <w:rPr>
          <w:rFonts w:asciiTheme="minorHAnsi" w:hAnsiTheme="minorHAnsi"/>
          <w:sz w:val="22"/>
          <w:szCs w:val="22"/>
        </w:rPr>
        <w:t xml:space="preserve"> (deux de préférence</w:t>
      </w:r>
      <w:r w:rsidR="006E627E" w:rsidRPr="00676648">
        <w:rPr>
          <w:rFonts w:asciiTheme="minorHAnsi" w:hAnsiTheme="minorHAnsi"/>
          <w:sz w:val="22"/>
          <w:szCs w:val="22"/>
        </w:rPr>
        <w:t>)</w:t>
      </w:r>
      <w:r w:rsidRPr="00676648">
        <w:rPr>
          <w:rFonts w:asciiTheme="minorHAnsi" w:hAnsiTheme="minorHAnsi"/>
          <w:sz w:val="22"/>
          <w:szCs w:val="22"/>
        </w:rPr>
        <w:t xml:space="preserve"> qui seront préalablement identifiés sur le site </w:t>
      </w:r>
      <w:hyperlink r:id="rId5" w:history="1">
        <w:r w:rsidRPr="00676648">
          <w:rPr>
            <w:rStyle w:val="Lienhypertexte"/>
            <w:rFonts w:asciiTheme="minorHAnsi" w:hAnsiTheme="minorHAnsi" w:cs="Arial"/>
            <w:sz w:val="22"/>
            <w:szCs w:val="22"/>
          </w:rPr>
          <w:t>https://www.bookcrossing.com/</w:t>
        </w:r>
      </w:hyperlink>
      <w:r w:rsidRPr="00676648">
        <w:rPr>
          <w:rFonts w:asciiTheme="minorHAnsi" w:hAnsiTheme="minorHAnsi"/>
          <w:sz w:val="22"/>
          <w:szCs w:val="22"/>
        </w:rPr>
        <w:t xml:space="preserve"> et mis à disposition des participants.</w:t>
      </w:r>
    </w:p>
    <w:p w:rsidR="009963C3" w:rsidRPr="00676648" w:rsidRDefault="006E627E" w:rsidP="006E627E">
      <w:pPr>
        <w:jc w:val="both"/>
        <w:rPr>
          <w:rFonts w:ascii="Calibri" w:hAnsi="Calibri" w:cs="Calibri"/>
          <w:sz w:val="22"/>
          <w:szCs w:val="22"/>
        </w:rPr>
      </w:pPr>
      <w:r w:rsidRPr="00676648">
        <w:rPr>
          <w:rFonts w:ascii="Calibri" w:hAnsi="Calibri" w:cs="Calibri"/>
          <w:sz w:val="22"/>
          <w:szCs w:val="22"/>
        </w:rPr>
        <w:t>Une communication de cet événement sera faite dans le Vanves info</w:t>
      </w:r>
      <w:r w:rsidR="002358B9">
        <w:rPr>
          <w:rFonts w:ascii="Calibri" w:hAnsi="Calibri" w:cs="Calibri"/>
          <w:sz w:val="22"/>
          <w:szCs w:val="22"/>
        </w:rPr>
        <w:t>s</w:t>
      </w:r>
      <w:r w:rsidRPr="00676648">
        <w:rPr>
          <w:rFonts w:ascii="Calibri" w:hAnsi="Calibri" w:cs="Calibri"/>
          <w:sz w:val="22"/>
          <w:szCs w:val="22"/>
        </w:rPr>
        <w:t xml:space="preserve"> du mois de septembre avec le logo du </w:t>
      </w:r>
      <w:proofErr w:type="spellStart"/>
      <w:r w:rsidRPr="00676648">
        <w:rPr>
          <w:rFonts w:ascii="Calibri" w:hAnsi="Calibri" w:cs="Calibri"/>
          <w:sz w:val="22"/>
          <w:szCs w:val="22"/>
        </w:rPr>
        <w:t>Trocolivre</w:t>
      </w:r>
      <w:proofErr w:type="spellEnd"/>
      <w:r w:rsidRPr="00676648">
        <w:rPr>
          <w:rFonts w:ascii="Calibri" w:hAnsi="Calibri" w:cs="Calibri"/>
          <w:sz w:val="22"/>
          <w:szCs w:val="22"/>
        </w:rPr>
        <w:t xml:space="preserve"> ainsi </w:t>
      </w:r>
      <w:r w:rsidR="002358B9">
        <w:rPr>
          <w:rFonts w:ascii="Calibri" w:hAnsi="Calibri" w:cs="Calibri"/>
          <w:sz w:val="22"/>
          <w:szCs w:val="22"/>
        </w:rPr>
        <w:t>qu’</w:t>
      </w:r>
      <w:r w:rsidRPr="00676648">
        <w:rPr>
          <w:rFonts w:ascii="Calibri" w:hAnsi="Calibri" w:cs="Calibri"/>
          <w:sz w:val="22"/>
          <w:szCs w:val="22"/>
        </w:rPr>
        <w:t xml:space="preserve">une demande d’inscription.  </w:t>
      </w:r>
    </w:p>
    <w:p w:rsidR="006E627E" w:rsidRPr="00676648" w:rsidRDefault="006E627E" w:rsidP="006E627E">
      <w:pPr>
        <w:jc w:val="both"/>
        <w:rPr>
          <w:rFonts w:ascii="Calibri" w:hAnsi="Calibri" w:cs="Calibri"/>
          <w:sz w:val="22"/>
          <w:szCs w:val="22"/>
        </w:rPr>
      </w:pPr>
    </w:p>
    <w:p w:rsidR="006E627E" w:rsidRPr="00676648" w:rsidRDefault="006E627E" w:rsidP="006E627E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676648">
        <w:rPr>
          <w:rFonts w:ascii="Calibri" w:hAnsi="Calibri" w:cs="Calibri"/>
          <w:b/>
          <w:sz w:val="22"/>
          <w:szCs w:val="22"/>
        </w:rPr>
        <w:t xml:space="preserve">Divers </w:t>
      </w:r>
    </w:p>
    <w:p w:rsidR="006E627E" w:rsidRPr="00676648" w:rsidRDefault="006E627E" w:rsidP="006E627E">
      <w:pPr>
        <w:pStyle w:val="Paragraphedeliste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6648">
        <w:rPr>
          <w:rFonts w:ascii="Calibri" w:hAnsi="Calibri" w:cs="Calibri"/>
          <w:sz w:val="22"/>
          <w:szCs w:val="22"/>
        </w:rPr>
        <w:t>Les conseillers de quartier se demande</w:t>
      </w:r>
      <w:r w:rsidR="00D94FE9" w:rsidRPr="00676648">
        <w:rPr>
          <w:rFonts w:ascii="Calibri" w:hAnsi="Calibri" w:cs="Calibri"/>
          <w:sz w:val="22"/>
          <w:szCs w:val="22"/>
        </w:rPr>
        <w:t>nt</w:t>
      </w:r>
      <w:r w:rsidRPr="00676648">
        <w:rPr>
          <w:rFonts w:ascii="Calibri" w:hAnsi="Calibri" w:cs="Calibri"/>
          <w:sz w:val="22"/>
          <w:szCs w:val="22"/>
        </w:rPr>
        <w:t xml:space="preserve"> si la mobilisation des gardiens d’immeuble</w:t>
      </w:r>
      <w:r w:rsidR="002358B9">
        <w:rPr>
          <w:rFonts w:ascii="Calibri" w:hAnsi="Calibri" w:cs="Calibri"/>
          <w:sz w:val="22"/>
          <w:szCs w:val="22"/>
        </w:rPr>
        <w:t>s</w:t>
      </w:r>
      <w:r w:rsidRPr="00676648">
        <w:rPr>
          <w:rFonts w:ascii="Calibri" w:hAnsi="Calibri" w:cs="Calibri"/>
          <w:sz w:val="22"/>
          <w:szCs w:val="22"/>
        </w:rPr>
        <w:t xml:space="preserve"> ne constituerait pas un réseau d’information de proximité.</w:t>
      </w:r>
      <w:r w:rsidR="00884AFE" w:rsidRPr="00676648">
        <w:rPr>
          <w:rFonts w:ascii="Calibri" w:hAnsi="Calibri" w:cs="Calibri"/>
          <w:sz w:val="22"/>
          <w:szCs w:val="22"/>
        </w:rPr>
        <w:t xml:space="preserve"> Face à cette interrogation, il est rappelé que </w:t>
      </w:r>
      <w:r w:rsidR="00676648" w:rsidRPr="00676648">
        <w:rPr>
          <w:rFonts w:ascii="Calibri" w:hAnsi="Calibri" w:cs="Calibri"/>
          <w:sz w:val="22"/>
          <w:szCs w:val="22"/>
        </w:rPr>
        <w:t>la Police Municipale fait ce travail de proximité auprès de gardiens. La Municipalité réfléchit à la construction d’un réseau composé de citoyen</w:t>
      </w:r>
      <w:r w:rsidR="002358B9">
        <w:rPr>
          <w:rFonts w:ascii="Calibri" w:hAnsi="Calibri" w:cs="Calibri"/>
          <w:sz w:val="22"/>
          <w:szCs w:val="22"/>
        </w:rPr>
        <w:t>s</w:t>
      </w:r>
      <w:r w:rsidR="00676648" w:rsidRPr="00676648">
        <w:rPr>
          <w:rFonts w:ascii="Calibri" w:hAnsi="Calibri" w:cs="Calibri"/>
          <w:sz w:val="22"/>
          <w:szCs w:val="22"/>
        </w:rPr>
        <w:t xml:space="preserve">. </w:t>
      </w:r>
      <w:r w:rsidRPr="00676648">
        <w:rPr>
          <w:rFonts w:ascii="Calibri" w:hAnsi="Calibri" w:cs="Calibri"/>
          <w:sz w:val="22"/>
          <w:szCs w:val="22"/>
        </w:rPr>
        <w:t xml:space="preserve"> </w:t>
      </w:r>
    </w:p>
    <w:p w:rsidR="00676648" w:rsidRPr="00676648" w:rsidRDefault="00676648" w:rsidP="00676648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884AFE" w:rsidRPr="00676648" w:rsidRDefault="00884AFE" w:rsidP="00884AFE">
      <w:pPr>
        <w:pStyle w:val="Paragraphedeliste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6648">
        <w:rPr>
          <w:rFonts w:ascii="Calibri" w:hAnsi="Calibri" w:cs="Calibri"/>
          <w:sz w:val="22"/>
          <w:szCs w:val="22"/>
        </w:rPr>
        <w:t>Face aux interrogations des conseillers de quartier vis-à-vis des canicules annoncées, il est rappelé que l</w:t>
      </w:r>
      <w:r w:rsidR="006E627E" w:rsidRPr="00676648">
        <w:rPr>
          <w:rFonts w:ascii="Calibri" w:hAnsi="Calibri" w:cs="Calibri"/>
          <w:sz w:val="22"/>
          <w:szCs w:val="22"/>
        </w:rPr>
        <w:t>’identification et le suivi des personnes vulnérable</w:t>
      </w:r>
      <w:r w:rsidRPr="00676648">
        <w:rPr>
          <w:rFonts w:ascii="Calibri" w:hAnsi="Calibri" w:cs="Calibri"/>
          <w:sz w:val="22"/>
          <w:szCs w:val="22"/>
        </w:rPr>
        <w:t>s</w:t>
      </w:r>
      <w:r w:rsidR="006E627E" w:rsidRPr="00676648">
        <w:rPr>
          <w:rFonts w:ascii="Calibri" w:hAnsi="Calibri" w:cs="Calibri"/>
          <w:sz w:val="22"/>
          <w:szCs w:val="22"/>
        </w:rPr>
        <w:t xml:space="preserve"> sont des enjeux </w:t>
      </w:r>
      <w:r w:rsidRPr="00676648">
        <w:rPr>
          <w:rFonts w:ascii="Calibri" w:hAnsi="Calibri" w:cs="Calibri"/>
          <w:sz w:val="22"/>
          <w:szCs w:val="22"/>
        </w:rPr>
        <w:t xml:space="preserve">de première importance du </w:t>
      </w:r>
      <w:r w:rsidR="002358B9">
        <w:rPr>
          <w:rFonts w:ascii="Calibri" w:hAnsi="Calibri" w:cs="Calibri"/>
          <w:sz w:val="22"/>
          <w:szCs w:val="22"/>
        </w:rPr>
        <w:t>C</w:t>
      </w:r>
      <w:r w:rsidRPr="00676648">
        <w:rPr>
          <w:rFonts w:ascii="Calibri" w:hAnsi="Calibri" w:cs="Calibri"/>
          <w:sz w:val="22"/>
          <w:szCs w:val="22"/>
        </w:rPr>
        <w:t>entre d’</w:t>
      </w:r>
      <w:r w:rsidR="002358B9">
        <w:rPr>
          <w:rFonts w:ascii="Calibri" w:hAnsi="Calibri" w:cs="Calibri"/>
          <w:sz w:val="22"/>
          <w:szCs w:val="22"/>
        </w:rPr>
        <w:t>A</w:t>
      </w:r>
      <w:r w:rsidRPr="00676648">
        <w:rPr>
          <w:rFonts w:ascii="Calibri" w:hAnsi="Calibri" w:cs="Calibri"/>
          <w:sz w:val="22"/>
          <w:szCs w:val="22"/>
        </w:rPr>
        <w:t xml:space="preserve">ction </w:t>
      </w:r>
      <w:r w:rsidR="002358B9">
        <w:rPr>
          <w:rFonts w:ascii="Calibri" w:hAnsi="Calibri" w:cs="Calibri"/>
          <w:sz w:val="22"/>
          <w:szCs w:val="22"/>
        </w:rPr>
        <w:t>S</w:t>
      </w:r>
      <w:r w:rsidRPr="00676648">
        <w:rPr>
          <w:rFonts w:ascii="Calibri" w:hAnsi="Calibri" w:cs="Calibri"/>
          <w:sz w:val="22"/>
          <w:szCs w:val="22"/>
        </w:rPr>
        <w:t xml:space="preserve">ociale de la </w:t>
      </w:r>
      <w:r w:rsidR="002358B9">
        <w:rPr>
          <w:rFonts w:ascii="Calibri" w:hAnsi="Calibri" w:cs="Calibri"/>
          <w:sz w:val="22"/>
          <w:szCs w:val="22"/>
        </w:rPr>
        <w:t>V</w:t>
      </w:r>
      <w:r w:rsidRPr="00676648">
        <w:rPr>
          <w:rFonts w:ascii="Calibri" w:hAnsi="Calibri" w:cs="Calibri"/>
          <w:sz w:val="22"/>
          <w:szCs w:val="22"/>
        </w:rPr>
        <w:t>ille (C.C.A.S). Néanmoins, de manière sporadique, les conseillers de quartier peuvent appuyer les actions lors d’épisode</w:t>
      </w:r>
      <w:r w:rsidR="00D94FE9" w:rsidRPr="00676648">
        <w:rPr>
          <w:rFonts w:ascii="Calibri" w:hAnsi="Calibri" w:cs="Calibri"/>
          <w:sz w:val="22"/>
          <w:szCs w:val="22"/>
        </w:rPr>
        <w:t>s</w:t>
      </w:r>
      <w:r w:rsidRPr="00676648">
        <w:rPr>
          <w:rFonts w:ascii="Calibri" w:hAnsi="Calibri" w:cs="Calibri"/>
          <w:sz w:val="22"/>
          <w:szCs w:val="22"/>
        </w:rPr>
        <w:t xml:space="preserve"> caniculaire</w:t>
      </w:r>
      <w:r w:rsidR="00D94FE9" w:rsidRPr="00676648">
        <w:rPr>
          <w:rFonts w:ascii="Calibri" w:hAnsi="Calibri" w:cs="Calibri"/>
          <w:sz w:val="22"/>
          <w:szCs w:val="22"/>
        </w:rPr>
        <w:t>s</w:t>
      </w:r>
      <w:r w:rsidRPr="00676648">
        <w:rPr>
          <w:rFonts w:ascii="Calibri" w:hAnsi="Calibri" w:cs="Calibri"/>
          <w:sz w:val="22"/>
          <w:szCs w:val="22"/>
        </w:rPr>
        <w:t xml:space="preserve"> en constituant un réseau solidaire coordonné par le </w:t>
      </w:r>
      <w:r w:rsidR="00676648" w:rsidRPr="00676648">
        <w:rPr>
          <w:rFonts w:ascii="Calibri" w:hAnsi="Calibri" w:cs="Calibri"/>
          <w:sz w:val="22"/>
          <w:szCs w:val="22"/>
        </w:rPr>
        <w:t>CCAS.</w:t>
      </w:r>
    </w:p>
    <w:p w:rsidR="006E627E" w:rsidRPr="00676648" w:rsidRDefault="006E627E" w:rsidP="006E627E">
      <w:pPr>
        <w:jc w:val="both"/>
        <w:rPr>
          <w:rFonts w:ascii="Calibri" w:hAnsi="Calibri" w:cs="Calibri"/>
          <w:sz w:val="22"/>
          <w:szCs w:val="22"/>
        </w:rPr>
      </w:pPr>
    </w:p>
    <w:p w:rsidR="009963C3" w:rsidRDefault="009963C3" w:rsidP="009963C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La prochaine réunion du Conseil de quartier des Hauts-de-Vanves aura lieu le :</w:t>
      </w:r>
    </w:p>
    <w:p w:rsidR="009963C3" w:rsidRDefault="009963C3" w:rsidP="009963C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963C3" w:rsidRDefault="009963C3" w:rsidP="009963C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Jeudi 12 septembre 2019 de 20h00 à 21h30</w:t>
      </w:r>
    </w:p>
    <w:p w:rsidR="009963C3" w:rsidRDefault="009963C3" w:rsidP="009963C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Salle Latapie  - 13 rue de Châtillon</w:t>
      </w:r>
    </w:p>
    <w:p w:rsidR="002358B9" w:rsidRDefault="002358B9" w:rsidP="009963C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360F25" w:rsidRDefault="00360F25">
      <w:bookmarkStart w:id="0" w:name="_GoBack"/>
      <w:bookmarkEnd w:id="0"/>
    </w:p>
    <w:sectPr w:rsidR="00360F25" w:rsidSect="00E2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D2E2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8556E"/>
    <w:multiLevelType w:val="hybridMultilevel"/>
    <w:tmpl w:val="411411E8"/>
    <w:lvl w:ilvl="0" w:tplc="DFFA12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299B"/>
    <w:multiLevelType w:val="hybridMultilevel"/>
    <w:tmpl w:val="95D8139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AF3AC9"/>
    <w:multiLevelType w:val="hybridMultilevel"/>
    <w:tmpl w:val="986C0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53B"/>
    <w:multiLevelType w:val="hybridMultilevel"/>
    <w:tmpl w:val="8A960970"/>
    <w:lvl w:ilvl="0" w:tplc="AF22530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B0AA3"/>
    <w:multiLevelType w:val="hybridMultilevel"/>
    <w:tmpl w:val="D0E6A8CA"/>
    <w:lvl w:ilvl="0" w:tplc="F34060FA">
      <w:start w:val="3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52CA"/>
    <w:multiLevelType w:val="hybridMultilevel"/>
    <w:tmpl w:val="3586D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47B79"/>
    <w:multiLevelType w:val="hybridMultilevel"/>
    <w:tmpl w:val="42145BF8"/>
    <w:lvl w:ilvl="0" w:tplc="1B1E9C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633E75"/>
    <w:multiLevelType w:val="hybridMultilevel"/>
    <w:tmpl w:val="6B5AF2F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37CAB"/>
    <w:multiLevelType w:val="hybridMultilevel"/>
    <w:tmpl w:val="BAA4B6B4"/>
    <w:lvl w:ilvl="0" w:tplc="C15A40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4AB"/>
    <w:rsid w:val="002358B9"/>
    <w:rsid w:val="003074A7"/>
    <w:rsid w:val="00360F25"/>
    <w:rsid w:val="00651245"/>
    <w:rsid w:val="00676648"/>
    <w:rsid w:val="006E627E"/>
    <w:rsid w:val="00731E0A"/>
    <w:rsid w:val="00884AFE"/>
    <w:rsid w:val="00886D3C"/>
    <w:rsid w:val="008A46D2"/>
    <w:rsid w:val="00917856"/>
    <w:rsid w:val="009963C3"/>
    <w:rsid w:val="00A604AB"/>
    <w:rsid w:val="00B8327F"/>
    <w:rsid w:val="00D94FE9"/>
    <w:rsid w:val="00DF1B7B"/>
    <w:rsid w:val="00E204D6"/>
    <w:rsid w:val="00E42489"/>
    <w:rsid w:val="00E75416"/>
    <w:rsid w:val="00F93F58"/>
    <w:rsid w:val="00F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63C3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9963C3"/>
    <w:pPr>
      <w:spacing w:after="0" w:line="240" w:lineRule="auto"/>
    </w:pPr>
    <w:rPr>
      <w:rFonts w:eastAsiaTheme="minorEastAsia"/>
    </w:rPr>
  </w:style>
  <w:style w:type="character" w:customStyle="1" w:styleId="ParagraphedelisteCar">
    <w:name w:val="Paragraphe de liste Car"/>
    <w:aliases w:val="Liste Niv 1 Car"/>
    <w:link w:val="Paragraphedeliste"/>
    <w:uiPriority w:val="34"/>
    <w:locked/>
    <w:rsid w:val="009963C3"/>
    <w:rPr>
      <w:rFonts w:ascii="ヒラギノ角ゴ Pro W3" w:eastAsia="ヒラギノ角ゴ Pro W3" w:hAnsi="ヒラギノ角ゴ Pro W3"/>
      <w:color w:val="000000"/>
      <w:sz w:val="24"/>
      <w:szCs w:val="24"/>
    </w:rPr>
  </w:style>
  <w:style w:type="paragraph" w:styleId="Paragraphedeliste">
    <w:name w:val="List Paragraph"/>
    <w:aliases w:val="Liste Niv 1"/>
    <w:basedOn w:val="Normal"/>
    <w:link w:val="ParagraphedelisteCar"/>
    <w:uiPriority w:val="34"/>
    <w:qFormat/>
    <w:rsid w:val="009963C3"/>
    <w:pPr>
      <w:ind w:left="720"/>
      <w:contextualSpacing/>
    </w:pPr>
    <w:rPr>
      <w:rFonts w:ascii="ヒラギノ角ゴ Pro W3" w:hAnsi="ヒラギノ角ゴ Pro W3" w:cstheme="minorBidi"/>
    </w:rPr>
  </w:style>
  <w:style w:type="paragraph" w:customStyle="1" w:styleId="Formatlibre">
    <w:name w:val="Format libre"/>
    <w:autoRedefine/>
    <w:rsid w:val="009963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E60CB"/>
    <w:rPr>
      <w:color w:val="0563C1" w:themeColor="hyperlink"/>
      <w:u w:val="single"/>
    </w:rPr>
  </w:style>
  <w:style w:type="paragraph" w:styleId="Listepuces">
    <w:name w:val="List Bullet"/>
    <w:basedOn w:val="Normal"/>
    <w:uiPriority w:val="99"/>
    <w:unhideWhenUsed/>
    <w:rsid w:val="00FE60CB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63C3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9963C3"/>
    <w:pPr>
      <w:spacing w:after="0" w:line="240" w:lineRule="auto"/>
    </w:pPr>
    <w:rPr>
      <w:rFonts w:eastAsiaTheme="minorEastAsia"/>
    </w:rPr>
  </w:style>
  <w:style w:type="character" w:customStyle="1" w:styleId="ParagraphedelisteCar">
    <w:name w:val="Paragraphe de liste Car"/>
    <w:aliases w:val="Liste Niv 1 Car"/>
    <w:link w:val="Paragraphedeliste"/>
    <w:uiPriority w:val="34"/>
    <w:locked/>
    <w:rsid w:val="009963C3"/>
    <w:rPr>
      <w:rFonts w:ascii="ヒラギノ角ゴ Pro W3" w:eastAsia="ヒラギノ角ゴ Pro W3" w:hAnsi="ヒラギノ角ゴ Pro W3"/>
      <w:color w:val="000000"/>
      <w:sz w:val="24"/>
      <w:szCs w:val="24"/>
    </w:rPr>
  </w:style>
  <w:style w:type="paragraph" w:styleId="Paragraphedeliste">
    <w:name w:val="List Paragraph"/>
    <w:aliases w:val="Liste Niv 1"/>
    <w:basedOn w:val="Normal"/>
    <w:link w:val="ParagraphedelisteCar"/>
    <w:uiPriority w:val="34"/>
    <w:qFormat/>
    <w:rsid w:val="009963C3"/>
    <w:pPr>
      <w:ind w:left="720"/>
      <w:contextualSpacing/>
    </w:pPr>
    <w:rPr>
      <w:rFonts w:ascii="ヒラギノ角ゴ Pro W3" w:hAnsi="ヒラギノ角ゴ Pro W3" w:cstheme="minorBidi"/>
    </w:rPr>
  </w:style>
  <w:style w:type="paragraph" w:customStyle="1" w:styleId="Formatlibre">
    <w:name w:val="Format libre"/>
    <w:autoRedefine/>
    <w:rsid w:val="009963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E60CB"/>
    <w:rPr>
      <w:color w:val="0563C1" w:themeColor="hyperlink"/>
      <w:u w:val="single"/>
    </w:rPr>
  </w:style>
  <w:style w:type="paragraph" w:styleId="Listepuces">
    <w:name w:val="List Bullet"/>
    <w:basedOn w:val="Normal"/>
    <w:uiPriority w:val="99"/>
    <w:unhideWhenUsed/>
    <w:rsid w:val="00FE60C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cross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JANNI, Axel</dc:creator>
  <cp:lastModifiedBy>bessaix</cp:lastModifiedBy>
  <cp:revision>2</cp:revision>
  <dcterms:created xsi:type="dcterms:W3CDTF">2019-07-02T15:07:00Z</dcterms:created>
  <dcterms:modified xsi:type="dcterms:W3CDTF">2019-07-02T15:07:00Z</dcterms:modified>
</cp:coreProperties>
</file>